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373B" w14:textId="593E7954" w:rsidR="00352CDC" w:rsidRPr="00352CDC" w:rsidRDefault="00352CDC" w:rsidP="00352CDC">
      <w:pPr>
        <w:spacing w:after="75" w:line="240" w:lineRule="auto"/>
        <w:jc w:val="left"/>
        <w:outlineLvl w:val="0"/>
        <w:rPr>
          <w:rFonts w:eastAsia="Times New Roman"/>
          <w:color w:val="101010"/>
          <w:kern w:val="36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kern w:val="36"/>
          <w:shd w:val="clear" w:color="auto" w:fill="auto"/>
          <w:lang w:eastAsia="ru-RU"/>
        </w:rPr>
        <w:t>Кластерный метод: Минпромторг запускает новую стратегию промышленного развития</w:t>
      </w:r>
    </w:p>
    <w:p w14:paraId="4CC1729E" w14:textId="77777777" w:rsidR="00352CDC" w:rsidRPr="00352CDC" w:rsidRDefault="00352CDC" w:rsidP="00352CDC">
      <w:pPr>
        <w:spacing w:after="75" w:line="240" w:lineRule="auto"/>
        <w:jc w:val="left"/>
        <w:outlineLvl w:val="0"/>
        <w:rPr>
          <w:rFonts w:eastAsia="Times New Roman"/>
          <w:color w:val="101010"/>
          <w:kern w:val="36"/>
          <w:shd w:val="clear" w:color="auto" w:fill="auto"/>
          <w:lang w:eastAsia="ru-RU"/>
        </w:rPr>
      </w:pPr>
    </w:p>
    <w:p w14:paraId="7BCD4E4C" w14:textId="77777777" w:rsidR="00352CDC" w:rsidRPr="00352CDC" w:rsidRDefault="00352CDC" w:rsidP="00352CDC">
      <w:pPr>
        <w:spacing w:line="240" w:lineRule="auto"/>
        <w:jc w:val="left"/>
        <w:rPr>
          <w:rFonts w:eastAsia="Times New Roman"/>
          <w:b/>
          <w:bCs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b/>
          <w:bCs/>
          <w:color w:val="101010"/>
          <w:shd w:val="clear" w:color="auto" w:fill="auto"/>
          <w:lang w:eastAsia="ru-RU"/>
        </w:rPr>
        <w:t>Механизм проходит широкую апробацию на базе новых субъектов РФ</w:t>
      </w:r>
    </w:p>
    <w:p w14:paraId="57D57471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b/>
          <w:bCs/>
          <w:color w:val="101010"/>
          <w:shd w:val="clear" w:color="auto" w:fill="auto"/>
          <w:lang w:eastAsia="ru-RU"/>
        </w:rPr>
        <w:t xml:space="preserve">Минпромторг провел в </w:t>
      </w:r>
      <w:proofErr w:type="spellStart"/>
      <w:r w:rsidRPr="00352CDC">
        <w:rPr>
          <w:rFonts w:eastAsia="Times New Roman"/>
          <w:b/>
          <w:bCs/>
          <w:color w:val="101010"/>
          <w:shd w:val="clear" w:color="auto" w:fill="auto"/>
          <w:lang w:eastAsia="ru-RU"/>
        </w:rPr>
        <w:t>Ростове</w:t>
      </w:r>
      <w:proofErr w:type="spellEnd"/>
      <w:r w:rsidRPr="00352CDC">
        <w:rPr>
          <w:rFonts w:eastAsia="Times New Roman"/>
          <w:b/>
          <w:bCs/>
          <w:color w:val="101010"/>
          <w:shd w:val="clear" w:color="auto" w:fill="auto"/>
          <w:lang w:eastAsia="ru-RU"/>
        </w:rPr>
        <w:t>-на-Дону очередной этап Федеральной практики. Это выездной практический семинар, на этот раз, сфокусированный на теме интеграции новых субъектов РФ в экономику страны. Однако вместе с повесткой Новороссии были представлены и принципиально новые механизмы промышленной политики, которые касаются всех регионов.</w:t>
      </w:r>
    </w:p>
    <w:p w14:paraId="32E0F835" w14:textId="45652E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t xml:space="preserve">Впервые за 30 лет государство создало небанковские механизмы финансирования индустриального сектора, по своему масштабу сопоставимые с коммерческой кредитной системой. Их могут применять не только в ДНР, ЛНР, Запорожской и Херсонской областях. Новые субъекты выступают в своем роде уникальной тестовой площадкой для передовых практических подходов в планировании, финансировании и организации производственных циклов. Это интересно. Однажды Донбасс уже был колыбелью Русской индустриализации, теперь история может повториться, по крайней </w:t>
      </w:r>
      <w:r w:rsidRPr="00352CDC">
        <w:rPr>
          <w:rFonts w:eastAsia="Times New Roman"/>
          <w:color w:val="101010"/>
          <w:shd w:val="clear" w:color="auto" w:fill="auto"/>
          <w:lang w:eastAsia="ru-RU"/>
        </w:rPr>
        <w:t>мере –</w:t>
      </w:r>
      <w:r w:rsidRPr="00352CDC">
        <w:rPr>
          <w:rFonts w:eastAsia="Times New Roman"/>
          <w:color w:val="101010"/>
          <w:shd w:val="clear" w:color="auto" w:fill="auto"/>
          <w:lang w:eastAsia="ru-RU"/>
        </w:rPr>
        <w:t xml:space="preserve"> в административно-правовом контексте.</w:t>
      </w:r>
    </w:p>
    <w:p w14:paraId="7B9EC4F8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t>Для получения финансовой поддержки от государства новые регионы должны будут спланировать и защитить дорожные карты промышленного развития. Пошаговые стратегии производственной кооперации своих предприятий: с критериями эффективности, нормами производственных затрат, предсказуемым рынком сбыта и прогнозируемой прибылью. По сути, от каждого субъекта требуется локальный промышленный госплан. Важно, что в этом подходе отдельные компании, заводы, мастерские, объекты инженерной и транспортной инфраструктуры выступают не каждый сам за себя и не каждый по отдельности против свободного рынка. Они все увязаны в систему промышленной кооперации. И только под такую систему государство готово выделять деньги. Причем не малые.</w:t>
      </w:r>
    </w:p>
    <w:p w14:paraId="14F75562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b/>
          <w:bCs/>
          <w:color w:val="101010"/>
          <w:shd w:val="clear" w:color="auto" w:fill="auto"/>
          <w:lang w:eastAsia="ru-RU"/>
        </w:rPr>
        <w:t>Единая региональная субсидия – один из ключевых финансовых механизмов возрождения экономики новых регионов. Важно, что этим инструментом могут пользоваться все субъекты РФ.</w:t>
      </w:r>
    </w:p>
    <w:p w14:paraId="6F934AAB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t xml:space="preserve">В настоящее время софинансирование региональных программ реализуется через Постановление правительства №328. Реализация механизма начата в 2016 году. Затем последовала четырехлетняя пауза. За три последних года расходы на программу росли: в 2021 году – 1 млрд рублей, в 2022 – 3,7 млрд рублей, на 2023 год и на плановые периоды 2024—2025 гг. заложено по 3,3 </w:t>
      </w:r>
      <w:r w:rsidRPr="00352CDC">
        <w:rPr>
          <w:rFonts w:eastAsia="Times New Roman"/>
          <w:color w:val="101010"/>
          <w:shd w:val="clear" w:color="auto" w:fill="auto"/>
          <w:lang w:eastAsia="ru-RU"/>
        </w:rPr>
        <w:lastRenderedPageBreak/>
        <w:t xml:space="preserve">млрд рублей ежегодно. Программы, конечно, </w:t>
      </w:r>
      <w:proofErr w:type="gramStart"/>
      <w:r w:rsidRPr="00352CDC">
        <w:rPr>
          <w:rFonts w:eastAsia="Times New Roman"/>
          <w:color w:val="101010"/>
          <w:shd w:val="clear" w:color="auto" w:fill="auto"/>
          <w:lang w:eastAsia="ru-RU"/>
        </w:rPr>
        <w:t>не достаточно</w:t>
      </w:r>
      <w:proofErr w:type="gramEnd"/>
      <w:r w:rsidRPr="00352CDC">
        <w:rPr>
          <w:rFonts w:eastAsia="Times New Roman"/>
          <w:color w:val="101010"/>
          <w:shd w:val="clear" w:color="auto" w:fill="auto"/>
          <w:lang w:eastAsia="ru-RU"/>
        </w:rPr>
        <w:t>, чтобы перекрыть потребности субъектов, в среднем их ежегодные промышленные запросы в четыре раза больше и составляют более 12 млрд рублей. Однако сам факт внедрения этого инструмента в индустриальную политику России говорит о том, что правительство начало думать и действовать по-новому.</w:t>
      </w:r>
    </w:p>
    <w:p w14:paraId="00A47990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t>Важно, что средства, адресованные регионам по льготной программе, теперь можно вкладывать в промышленность. Прежде пакет субсидий предназначался в основном для стройки, инфраструктуры и социальной сферы. В прошлом году средства единой региональной субсидии были предоставлены 58 регионам – деньги были освоены на сто процентов.</w:t>
      </w:r>
    </w:p>
    <w:p w14:paraId="40D82B1B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b/>
          <w:bCs/>
          <w:color w:val="101010"/>
          <w:shd w:val="clear" w:color="auto" w:fill="auto"/>
          <w:lang w:eastAsia="ru-RU"/>
        </w:rPr>
        <w:t>Есть четыре направления применения денег Единой региональной субсидии.</w:t>
      </w:r>
    </w:p>
    <w:p w14:paraId="3FFA8194" w14:textId="77777777" w:rsidR="00352CDC" w:rsidRPr="00352CDC" w:rsidRDefault="00352CDC" w:rsidP="00352CDC">
      <w:pPr>
        <w:numPr>
          <w:ilvl w:val="0"/>
          <w:numId w:val="1"/>
        </w:numPr>
        <w:shd w:val="clear" w:color="auto" w:fill="FFFFFF"/>
        <w:spacing w:after="225" w:line="240" w:lineRule="auto"/>
        <w:ind w:left="1095"/>
        <w:jc w:val="left"/>
        <w:rPr>
          <w:rFonts w:eastAsia="Times New Roman"/>
          <w:color w:val="auto"/>
          <w:shd w:val="clear" w:color="auto" w:fill="auto"/>
          <w:lang w:eastAsia="ru-RU"/>
        </w:rPr>
      </w:pPr>
      <w:r w:rsidRPr="00352CDC">
        <w:rPr>
          <w:rFonts w:eastAsia="Times New Roman"/>
          <w:color w:val="auto"/>
          <w:shd w:val="clear" w:color="auto" w:fill="auto"/>
          <w:lang w:eastAsia="ru-RU"/>
        </w:rPr>
        <w:t xml:space="preserve">Возмещение части затрат предприятия, понесенных на оплату услуг ресурсоснабжающих организаций по подключению к коммунальной инфраструктуре (так называемый </w:t>
      </w:r>
      <w:proofErr w:type="spellStart"/>
      <w:r w:rsidRPr="00352CDC">
        <w:rPr>
          <w:rFonts w:eastAsia="Times New Roman"/>
          <w:color w:val="auto"/>
          <w:shd w:val="clear" w:color="auto" w:fill="auto"/>
          <w:lang w:eastAsia="ru-RU"/>
        </w:rPr>
        <w:t>техприз</w:t>
      </w:r>
      <w:proofErr w:type="spellEnd"/>
      <w:r w:rsidRPr="00352CDC">
        <w:rPr>
          <w:rFonts w:eastAsia="Times New Roman"/>
          <w:color w:val="auto"/>
          <w:shd w:val="clear" w:color="auto" w:fill="auto"/>
          <w:lang w:eastAsia="ru-RU"/>
        </w:rPr>
        <w:t xml:space="preserve">). В Минпромторге подчеркивают, что это не возвратные деньги. Предприятие может компенсировать до 80% понесенных затрат на </w:t>
      </w:r>
      <w:proofErr w:type="spellStart"/>
      <w:r w:rsidRPr="00352CDC">
        <w:rPr>
          <w:rFonts w:eastAsia="Times New Roman"/>
          <w:color w:val="auto"/>
          <w:shd w:val="clear" w:color="auto" w:fill="auto"/>
          <w:lang w:eastAsia="ru-RU"/>
        </w:rPr>
        <w:t>техприсоединение</w:t>
      </w:r>
      <w:proofErr w:type="spellEnd"/>
      <w:r w:rsidRPr="00352CDC">
        <w:rPr>
          <w:rFonts w:eastAsia="Times New Roman"/>
          <w:color w:val="auto"/>
          <w:shd w:val="clear" w:color="auto" w:fill="auto"/>
          <w:lang w:eastAsia="ru-RU"/>
        </w:rPr>
        <w:t xml:space="preserve"> (но не более 20 млн рублей).</w:t>
      </w:r>
    </w:p>
    <w:p w14:paraId="0849D6BF" w14:textId="77777777" w:rsidR="00352CDC" w:rsidRPr="00352CDC" w:rsidRDefault="00352CDC" w:rsidP="00352CDC">
      <w:pPr>
        <w:numPr>
          <w:ilvl w:val="0"/>
          <w:numId w:val="1"/>
        </w:numPr>
        <w:shd w:val="clear" w:color="auto" w:fill="FFFFFF"/>
        <w:spacing w:after="225" w:line="240" w:lineRule="auto"/>
        <w:ind w:left="1095"/>
        <w:jc w:val="left"/>
        <w:rPr>
          <w:rFonts w:eastAsia="Times New Roman"/>
          <w:color w:val="auto"/>
          <w:shd w:val="clear" w:color="auto" w:fill="auto"/>
          <w:lang w:eastAsia="ru-RU"/>
        </w:rPr>
      </w:pPr>
      <w:r w:rsidRPr="00352CDC">
        <w:rPr>
          <w:rFonts w:eastAsia="Times New Roman"/>
          <w:color w:val="auto"/>
          <w:shd w:val="clear" w:color="auto" w:fill="auto"/>
          <w:lang w:eastAsia="ru-RU"/>
        </w:rPr>
        <w:t>Лизинговые договоры. Возмещение части затрат (не более 80%, и не более 20 млн рублей) на уплату первоначального взноса по договорам лизинга оборудования с российскими лизинговыми организациями.</w:t>
      </w:r>
    </w:p>
    <w:p w14:paraId="13C017E9" w14:textId="77777777" w:rsidR="00352CDC" w:rsidRPr="00352CDC" w:rsidRDefault="00352CDC" w:rsidP="00352CDC">
      <w:pPr>
        <w:numPr>
          <w:ilvl w:val="0"/>
          <w:numId w:val="1"/>
        </w:numPr>
        <w:shd w:val="clear" w:color="auto" w:fill="FFFFFF"/>
        <w:spacing w:after="225" w:line="240" w:lineRule="auto"/>
        <w:ind w:left="1095"/>
        <w:jc w:val="left"/>
        <w:rPr>
          <w:rFonts w:eastAsia="Times New Roman"/>
          <w:color w:val="auto"/>
          <w:shd w:val="clear" w:color="auto" w:fill="auto"/>
          <w:lang w:eastAsia="ru-RU"/>
        </w:rPr>
      </w:pPr>
      <w:r w:rsidRPr="00352CDC">
        <w:rPr>
          <w:rFonts w:eastAsia="Times New Roman"/>
          <w:color w:val="auto"/>
          <w:shd w:val="clear" w:color="auto" w:fill="auto"/>
          <w:lang w:eastAsia="ru-RU"/>
        </w:rPr>
        <w:t>Модернизация – приобретение нового оборудования. Возмещение 50% понесенных затрат (но не более 20 млн рублей).</w:t>
      </w:r>
    </w:p>
    <w:p w14:paraId="4B61F3CD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t>Обратившись в правительство своего субъекта, бизнес может рассчитывать на государственную компенсацию своих производственных затрат.</w:t>
      </w:r>
    </w:p>
    <w:p w14:paraId="07D2D51F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b/>
          <w:bCs/>
          <w:color w:val="101010"/>
          <w:shd w:val="clear" w:color="auto" w:fill="auto"/>
          <w:lang w:eastAsia="ru-RU"/>
        </w:rPr>
        <w:t>Каркасом индустриальной политики страны остается Фонд развития промышленности.</w:t>
      </w:r>
      <w:r w:rsidRPr="00352CDC">
        <w:rPr>
          <w:rFonts w:eastAsia="Times New Roman"/>
          <w:color w:val="101010"/>
          <w:shd w:val="clear" w:color="auto" w:fill="auto"/>
          <w:lang w:eastAsia="ru-RU"/>
        </w:rPr>
        <w:t> На сегодняшний день Фонд развился в полноценное государственное кредитное агентство. Региональные филиалы ФРП, разбросанные по всей стране, стали вспомогательным ресурсом губернаторов. Местные промышленные стратегии развития теперь строятся с опорой на программы и продукты, предлагаемые этими филиалами. Таким образом, во всех субъектах РФ незаметно выстроилась новая финансовая кровеносная система государства. Причем, это произошло буквально за последние три года.</w:t>
      </w:r>
    </w:p>
    <w:p w14:paraId="3E46AAFA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lastRenderedPageBreak/>
        <w:t>Докапитализация региональных фондов развития промышленности позволила довести до местного бизнеса инструменты льготных займов под 1-2% как на оборудование, так и на пополнение оборотных средств. Для регионов Новороссии предусмотрены специальные дополнительные кредиты на восстановление предприятий. Для всех местных отделений ФРП министерством разработаны подробные методические рекомендации.</w:t>
      </w:r>
    </w:p>
    <w:p w14:paraId="381A12CF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t>Крайне важно, что для доступа к каналам бюджетного финансирования каждый регион должен проделать определенную организационную работу, связанную с планированием, инвентаризацией производственных мощностей, нормированием и оценкой затрат.</w:t>
      </w:r>
    </w:p>
    <w:p w14:paraId="5B506ECE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b/>
          <w:bCs/>
          <w:color w:val="101010"/>
          <w:shd w:val="clear" w:color="auto" w:fill="auto"/>
          <w:lang w:eastAsia="ru-RU"/>
        </w:rPr>
        <w:t>Чтобы получить поддержку в рамках Единой региональной субсидии либо поддержку от ФРП, необходимо выполнить три условия:</w:t>
      </w:r>
    </w:p>
    <w:p w14:paraId="37B7CC59" w14:textId="77777777" w:rsidR="00352CDC" w:rsidRPr="00352CDC" w:rsidRDefault="00352CDC" w:rsidP="00352CDC">
      <w:pPr>
        <w:numPr>
          <w:ilvl w:val="0"/>
          <w:numId w:val="2"/>
        </w:numPr>
        <w:shd w:val="clear" w:color="auto" w:fill="FFFFFF"/>
        <w:spacing w:after="225" w:line="240" w:lineRule="auto"/>
        <w:ind w:left="1095"/>
        <w:jc w:val="left"/>
        <w:rPr>
          <w:rFonts w:eastAsia="Times New Roman"/>
          <w:color w:val="auto"/>
          <w:shd w:val="clear" w:color="auto" w:fill="auto"/>
          <w:lang w:eastAsia="ru-RU"/>
        </w:rPr>
      </w:pPr>
      <w:r w:rsidRPr="00352CDC">
        <w:rPr>
          <w:rFonts w:eastAsia="Times New Roman"/>
          <w:color w:val="auto"/>
          <w:shd w:val="clear" w:color="auto" w:fill="auto"/>
          <w:lang w:eastAsia="ru-RU"/>
        </w:rPr>
        <w:t>Должна быть утверждена региональная программа развития промышленности, рассчитанная на срок не менее трех лет.</w:t>
      </w:r>
    </w:p>
    <w:p w14:paraId="2127414F" w14:textId="77777777" w:rsidR="00352CDC" w:rsidRPr="00352CDC" w:rsidRDefault="00352CDC" w:rsidP="00352CDC">
      <w:pPr>
        <w:numPr>
          <w:ilvl w:val="0"/>
          <w:numId w:val="2"/>
        </w:numPr>
        <w:shd w:val="clear" w:color="auto" w:fill="FFFFFF"/>
        <w:spacing w:after="225" w:line="240" w:lineRule="auto"/>
        <w:ind w:left="1095"/>
        <w:jc w:val="left"/>
        <w:rPr>
          <w:rFonts w:eastAsia="Times New Roman"/>
          <w:color w:val="auto"/>
          <w:shd w:val="clear" w:color="auto" w:fill="auto"/>
          <w:lang w:eastAsia="ru-RU"/>
        </w:rPr>
      </w:pPr>
      <w:r w:rsidRPr="00352CDC">
        <w:rPr>
          <w:rFonts w:eastAsia="Times New Roman"/>
          <w:color w:val="auto"/>
          <w:shd w:val="clear" w:color="auto" w:fill="auto"/>
          <w:lang w:eastAsia="ru-RU"/>
        </w:rPr>
        <w:t xml:space="preserve">В составе этой программы должен присутствовать один из трех пунктов (компенсация за </w:t>
      </w:r>
      <w:proofErr w:type="spellStart"/>
      <w:r w:rsidRPr="00352CDC">
        <w:rPr>
          <w:rFonts w:eastAsia="Times New Roman"/>
          <w:color w:val="auto"/>
          <w:shd w:val="clear" w:color="auto" w:fill="auto"/>
          <w:lang w:eastAsia="ru-RU"/>
        </w:rPr>
        <w:t>техприсоединение</w:t>
      </w:r>
      <w:proofErr w:type="spellEnd"/>
      <w:r w:rsidRPr="00352CDC">
        <w:rPr>
          <w:rFonts w:eastAsia="Times New Roman"/>
          <w:color w:val="auto"/>
          <w:shd w:val="clear" w:color="auto" w:fill="auto"/>
          <w:lang w:eastAsia="ru-RU"/>
        </w:rPr>
        <w:t xml:space="preserve"> к сетям, за лизинг оборудования, субсидия на модернизацию).</w:t>
      </w:r>
    </w:p>
    <w:p w14:paraId="7A013868" w14:textId="77777777" w:rsidR="00352CDC" w:rsidRPr="00352CDC" w:rsidRDefault="00352CDC" w:rsidP="00352CDC">
      <w:pPr>
        <w:numPr>
          <w:ilvl w:val="0"/>
          <w:numId w:val="2"/>
        </w:numPr>
        <w:shd w:val="clear" w:color="auto" w:fill="FFFFFF"/>
        <w:spacing w:after="225" w:line="240" w:lineRule="auto"/>
        <w:ind w:left="1095"/>
        <w:jc w:val="left"/>
        <w:rPr>
          <w:rFonts w:eastAsia="Times New Roman"/>
          <w:color w:val="auto"/>
          <w:shd w:val="clear" w:color="auto" w:fill="auto"/>
          <w:lang w:eastAsia="ru-RU"/>
        </w:rPr>
      </w:pPr>
      <w:r w:rsidRPr="00352CDC">
        <w:rPr>
          <w:rFonts w:eastAsia="Times New Roman"/>
          <w:color w:val="auto"/>
          <w:shd w:val="clear" w:color="auto" w:fill="auto"/>
          <w:lang w:eastAsia="ru-RU"/>
        </w:rPr>
        <w:t>В составе каждого мероприятия должны быть установлены обязательные критерии эффективности: предметные и поддающиеся проверке показатели развития промышленности (увеличение стоимости основных фондов, объем инвестиций в основной капитал, объем отгруженных товаров собственного производства). Показатели рассчитываются на три года и после заключения соглашения, в течение первых двух лет их можно корректировать.</w:t>
      </w:r>
    </w:p>
    <w:p w14:paraId="1BDDDD47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t>Минпромторг проводит процедуру конкурсного отбора. Для новых субъектов она максимально упрощена. Им необходимо представить всего три документа в составе заявки.</w:t>
      </w:r>
    </w:p>
    <w:p w14:paraId="297EAB0F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t>Федеральный закон о промышленной политике содержит термин «промышленные кластеры» – в понимании Минпромторга, это сложившиеся кооперационные цепочки.</w:t>
      </w:r>
    </w:p>
    <w:p w14:paraId="7B75361D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b/>
          <w:bCs/>
          <w:color w:val="101010"/>
          <w:shd w:val="clear" w:color="auto" w:fill="auto"/>
          <w:lang w:eastAsia="ru-RU"/>
        </w:rPr>
        <w:t>Промышленный кластер может быть создан в пределах одного, либо нескольких субъектов РФ. Практика показывает, что как правило в один кластер входит 15-20 предприятий. Каждое предприятие, входящее в промышленный кластер, имеет возможность пользоваться мерами господдержки, – пояснили в ходе семинара Федеральной практики Минпромторга.</w:t>
      </w:r>
    </w:p>
    <w:p w14:paraId="5AA9E44E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lastRenderedPageBreak/>
        <w:t>Это принципиально новый элемент промышленной политики страны, который ломает прежние узко-рыночные подходы.</w:t>
      </w:r>
    </w:p>
    <w:p w14:paraId="42A86239" w14:textId="77777777" w:rsidR="00352CDC" w:rsidRPr="00352CDC" w:rsidRDefault="00352CDC" w:rsidP="00352CDC">
      <w:pPr>
        <w:shd w:val="clear" w:color="auto" w:fill="FFFFFF"/>
        <w:spacing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i/>
          <w:iCs/>
          <w:color w:val="101010"/>
          <w:shd w:val="clear" w:color="auto" w:fill="auto"/>
          <w:lang w:eastAsia="ru-RU"/>
        </w:rPr>
        <w:t>– Нет ограничения на создание кластера в пределах одного субъекта, –</w:t>
      </w:r>
      <w:r w:rsidRPr="00352CDC">
        <w:rPr>
          <w:rFonts w:eastAsia="Times New Roman"/>
          <w:color w:val="101010"/>
          <w:shd w:val="clear" w:color="auto" w:fill="auto"/>
          <w:lang w:eastAsia="ru-RU"/>
        </w:rPr>
        <w:t xml:space="preserve"> пояснил в ходе семинара </w:t>
      </w:r>
      <w:proofErr w:type="spellStart"/>
      <w:r w:rsidRPr="00352CDC">
        <w:rPr>
          <w:rFonts w:eastAsia="Times New Roman"/>
          <w:color w:val="101010"/>
          <w:shd w:val="clear" w:color="auto" w:fill="auto"/>
          <w:lang w:eastAsia="ru-RU"/>
        </w:rPr>
        <w:t>Адрей</w:t>
      </w:r>
      <w:proofErr w:type="spellEnd"/>
      <w:r w:rsidRPr="00352CDC">
        <w:rPr>
          <w:rFonts w:eastAsia="Times New Roman"/>
          <w:color w:val="101010"/>
          <w:shd w:val="clear" w:color="auto" w:fill="auto"/>
          <w:lang w:eastAsia="ru-RU"/>
        </w:rPr>
        <w:t xml:space="preserve"> Шпиленко, директор Ассоциации кластеров, технопарков и особых экономических зон России. </w:t>
      </w:r>
      <w:r w:rsidRPr="00352CDC">
        <w:rPr>
          <w:rFonts w:eastAsia="Times New Roman"/>
          <w:i/>
          <w:iCs/>
          <w:color w:val="101010"/>
          <w:shd w:val="clear" w:color="auto" w:fill="auto"/>
          <w:lang w:eastAsia="ru-RU"/>
        </w:rPr>
        <w:t> – Это реальные сложившиеся цепочки. Где бы предприятие не находилось (на Донбассе или в Сибири), оно является частью промышленного кластера и вправе пользоваться мерами государственной поддержки. Заявку на ее получение подают одновременно все предприятия цепочки.</w:t>
      </w:r>
    </w:p>
    <w:p w14:paraId="50CCEF09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t>Скажем, для производства горнопроходческих машин требуется длинная цепочка: из металлургической компании, литейных, машиностроительных заводов, предприятий, создающих отдельные комплектующие, и предприятий, занимающихся финальной крупноузловой сборкой. Вся эта цепочка трактуется Минпромторгом как полноценный промышленный кластер и вносится в реестр министерства.</w:t>
      </w:r>
    </w:p>
    <w:p w14:paraId="60FB0D4D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t>Возможны трудные случаи, когда в цепочке меняется один или несколько контрагентов (предприятий, поставщиков). Для таких моментов создается специализированная управляющая организация кластера, под контролем которой находятся все кооперационные процессы. В случае изменения ситуации, через нее подается уведомление в Минпромторг.</w:t>
      </w:r>
    </w:p>
    <w:p w14:paraId="1A3A256E" w14:textId="77777777" w:rsidR="00352CDC" w:rsidRPr="00352CDC" w:rsidRDefault="00352CDC" w:rsidP="00352CDC">
      <w:pPr>
        <w:shd w:val="clear" w:color="auto" w:fill="FFFFFF"/>
        <w:spacing w:after="450" w:line="240" w:lineRule="auto"/>
        <w:jc w:val="left"/>
        <w:rPr>
          <w:rFonts w:eastAsia="Times New Roman"/>
          <w:color w:val="101010"/>
          <w:shd w:val="clear" w:color="auto" w:fill="auto"/>
          <w:lang w:eastAsia="ru-RU"/>
        </w:rPr>
      </w:pPr>
      <w:r w:rsidRPr="00352CDC">
        <w:rPr>
          <w:rFonts w:eastAsia="Times New Roman"/>
          <w:color w:val="101010"/>
          <w:shd w:val="clear" w:color="auto" w:fill="auto"/>
          <w:lang w:eastAsia="ru-RU"/>
        </w:rPr>
        <w:t>Кластерный метод станет одной из тем дискуссии, посвященной развитию инфраструктуры новых территорий России в ходе XVIII Форума-выставки «ГОСЗАКАЗ» 19-21 апреля 2022 года в Сколково.</w:t>
      </w:r>
      <w:r w:rsidRPr="00352CDC">
        <w:rPr>
          <w:rFonts w:eastAsia="Times New Roman"/>
          <w:color w:val="101010"/>
          <w:shd w:val="clear" w:color="auto" w:fill="auto"/>
          <w:lang w:eastAsia="ru-RU"/>
        </w:rPr>
        <w:br/>
        <w:t>Сегодня акцент на Донбассе, однако идея актуальна для технологической независимости и всей страны. Новая промышленная политика позволит совершить промышленный рывок.</w:t>
      </w:r>
    </w:p>
    <w:p w14:paraId="202ACA6D" w14:textId="77777777" w:rsidR="00611477" w:rsidRPr="00352CDC" w:rsidRDefault="00000000"/>
    <w:sectPr w:rsidR="00611477" w:rsidRPr="0035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29CB"/>
    <w:multiLevelType w:val="multilevel"/>
    <w:tmpl w:val="261A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07CC3"/>
    <w:multiLevelType w:val="multilevel"/>
    <w:tmpl w:val="161A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91211">
    <w:abstractNumId w:val="0"/>
  </w:num>
  <w:num w:numId="2" w16cid:durableId="98208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DC"/>
    <w:rsid w:val="001059F0"/>
    <w:rsid w:val="002C0719"/>
    <w:rsid w:val="00352CDC"/>
    <w:rsid w:val="005C460A"/>
    <w:rsid w:val="009D2B37"/>
    <w:rsid w:val="00E1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DD9A"/>
  <w15:chartTrackingRefBased/>
  <w15:docId w15:val="{41F0B5B2-1AD2-437D-8DF1-CA0BF72C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B37"/>
    <w:pPr>
      <w:jc w:val="both"/>
    </w:pPr>
    <w:rPr>
      <w:rFonts w:ascii="Times New Roman" w:hAnsi="Times New Roman" w:cs="Times New Roman"/>
      <w:color w:val="000000"/>
      <w:kern w:val="0"/>
      <w:sz w:val="28"/>
      <w:szCs w:val="28"/>
      <w:shd w:val="clear" w:color="auto" w:fill="FFFFFF"/>
      <w14:ligatures w14:val="none"/>
    </w:rPr>
  </w:style>
  <w:style w:type="paragraph" w:styleId="1">
    <w:name w:val="heading 1"/>
    <w:basedOn w:val="a"/>
    <w:link w:val="10"/>
    <w:uiPriority w:val="9"/>
    <w:qFormat/>
    <w:rsid w:val="00352CDC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shd w:val="clear" w:color="auto" w:fil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52CDC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character" w:customStyle="1" w:styleId="bold">
    <w:name w:val="bold"/>
    <w:basedOn w:val="a0"/>
    <w:rsid w:val="00352CDC"/>
  </w:style>
  <w:style w:type="character" w:customStyle="1" w:styleId="italic">
    <w:name w:val="italic"/>
    <w:basedOn w:val="a0"/>
    <w:rsid w:val="0035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2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646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24" w:space="15" w:color="1114A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AkitRf Pr</dc:creator>
  <cp:keywords/>
  <dc:description/>
  <cp:lastModifiedBy>AkitRf Pr</cp:lastModifiedBy>
  <cp:revision>1</cp:revision>
  <dcterms:created xsi:type="dcterms:W3CDTF">2023-03-22T12:31:00Z</dcterms:created>
  <dcterms:modified xsi:type="dcterms:W3CDTF">2023-03-22T12:33:00Z</dcterms:modified>
</cp:coreProperties>
</file>